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D0A4E" w14:textId="77777777" w:rsidR="00DB5443" w:rsidRDefault="00DB5443">
      <w:pPr>
        <w:rPr>
          <w:rFonts w:hint="eastAsia"/>
        </w:rPr>
      </w:pPr>
    </w:p>
    <w:p w14:paraId="7121104D" w14:textId="77777777" w:rsidR="00DB5443" w:rsidRDefault="00DB5443">
      <w:pPr>
        <w:rPr>
          <w:rFonts w:hint="eastAsia"/>
        </w:rPr>
      </w:pPr>
    </w:p>
    <w:p w14:paraId="1C7B3C22" w14:textId="77777777" w:rsidR="00DB5443" w:rsidRDefault="00DB5443" w:rsidP="00DB5443">
      <w:pPr>
        <w:ind w:left="7200" w:firstLine="720"/>
        <w:rPr>
          <w:rFonts w:hint="eastAsia"/>
        </w:rPr>
      </w:pPr>
      <w:r>
        <w:rPr>
          <w:noProof/>
        </w:rPr>
        <w:drawing>
          <wp:inline distT="0" distB="0" distL="0" distR="0" wp14:anchorId="48326413" wp14:editId="503601A5">
            <wp:extent cx="706922" cy="99144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40" cy="992033"/>
                    </a:xfrm>
                    <a:prstGeom prst="rect">
                      <a:avLst/>
                    </a:prstGeom>
                    <a:noFill/>
                    <a:ln>
                      <a:noFill/>
                    </a:ln>
                  </pic:spPr>
                </pic:pic>
              </a:graphicData>
            </a:graphic>
          </wp:inline>
        </w:drawing>
      </w:r>
    </w:p>
    <w:p w14:paraId="642358F3" w14:textId="6580F28D" w:rsidR="00DB5443" w:rsidRDefault="00DB5443">
      <w:r>
        <w:t xml:space="preserve">According to the IB </w:t>
      </w:r>
      <w:proofErr w:type="spellStart"/>
      <w:r>
        <w:t>Markschemes</w:t>
      </w:r>
      <w:proofErr w:type="spellEnd"/>
      <w:r>
        <w:rPr>
          <w:rFonts w:hint="eastAsia"/>
        </w:rPr>
        <w:t>…</w:t>
      </w:r>
      <w:r>
        <w:t>.</w:t>
      </w:r>
    </w:p>
    <w:p w14:paraId="3B184DE0" w14:textId="77777777" w:rsidR="00DB5443" w:rsidRDefault="00DB5443">
      <w:pPr>
        <w:rPr>
          <w:rFonts w:hint="eastAsia"/>
        </w:rPr>
      </w:pPr>
      <w:r>
        <w:t xml:space="preserve">What to include in your </w:t>
      </w:r>
      <w:r w:rsidRPr="00DB5443">
        <w:rPr>
          <w:u w:val="single"/>
        </w:rPr>
        <w:t>conformity</w:t>
      </w:r>
      <w:r>
        <w:t xml:space="preserve"> ERQ</w:t>
      </w:r>
      <w:r>
        <w:rPr>
          <w:rFonts w:hint="eastAsia"/>
        </w:rPr>
        <w:t>’</w:t>
      </w:r>
      <w:r>
        <w:t>s</w:t>
      </w:r>
      <w:r>
        <w:tab/>
      </w:r>
      <w:r>
        <w:tab/>
      </w:r>
    </w:p>
    <w:p w14:paraId="27CFEE84" w14:textId="77777777" w:rsidR="00DB5443" w:rsidRDefault="00DB5443" w:rsidP="00DB5443"/>
    <w:p w14:paraId="6EFE183D" w14:textId="77777777" w:rsidR="00DB5443" w:rsidRDefault="00DB5443" w:rsidP="00DB5443">
      <w:pPr>
        <w:rPr>
          <w:rFonts w:hint="eastAsia"/>
        </w:rPr>
      </w:pPr>
    </w:p>
    <w:p w14:paraId="24F4D7A5" w14:textId="77777777" w:rsidR="00DB5443" w:rsidRPr="00DB5443" w:rsidRDefault="00DB5443" w:rsidP="00DB5443">
      <w:pPr>
        <w:rPr>
          <w:rFonts w:hint="eastAsia"/>
          <w:b/>
        </w:rPr>
      </w:pPr>
      <w:r w:rsidRPr="00DB5443">
        <w:rPr>
          <w:b/>
        </w:rPr>
        <w:t>Evaluate research on conformity to group norms.</w:t>
      </w:r>
    </w:p>
    <w:p w14:paraId="6001959A" w14:textId="77777777" w:rsidR="00DB5443" w:rsidRDefault="00DB5443" w:rsidP="00DB5443">
      <w:pPr>
        <w:rPr>
          <w:rFonts w:hint="eastAsia"/>
        </w:rPr>
      </w:pPr>
    </w:p>
    <w:p w14:paraId="37D52BC8" w14:textId="77777777" w:rsidR="00DB5443" w:rsidRDefault="00DB5443" w:rsidP="00DB5443">
      <w:pPr>
        <w:pStyle w:val="ListParagraph"/>
        <w:numPr>
          <w:ilvl w:val="0"/>
          <w:numId w:val="2"/>
        </w:numPr>
        <w:rPr>
          <w:rFonts w:hint="eastAsia"/>
        </w:rPr>
      </w:pPr>
      <w:r>
        <w:t xml:space="preserve">If the term </w:t>
      </w:r>
      <w:r>
        <w:rPr>
          <w:rFonts w:hint="eastAsia"/>
        </w:rPr>
        <w:t>‘</w:t>
      </w:r>
      <w:r>
        <w:t>research</w:t>
      </w:r>
      <w:r>
        <w:rPr>
          <w:rFonts w:hint="eastAsia"/>
        </w:rPr>
        <w:t>’</w:t>
      </w:r>
      <w:r>
        <w:t xml:space="preserve"> is used, you may include </w:t>
      </w:r>
      <w:r w:rsidRPr="00DB5443">
        <w:rPr>
          <w:u w:val="single"/>
        </w:rPr>
        <w:t>theories and/or studies</w:t>
      </w:r>
      <w:r>
        <w:t>.</w:t>
      </w:r>
    </w:p>
    <w:p w14:paraId="07FD74A5" w14:textId="77777777" w:rsidR="00DB5443" w:rsidRDefault="00DB5443" w:rsidP="00DB5443">
      <w:pPr>
        <w:rPr>
          <w:rFonts w:hint="eastAsia"/>
        </w:rPr>
      </w:pPr>
    </w:p>
    <w:p w14:paraId="2170A161" w14:textId="77777777" w:rsidR="00DB5443" w:rsidRPr="00DB5443" w:rsidRDefault="00DB5443" w:rsidP="00DB5443">
      <w:pPr>
        <w:widowControl w:val="0"/>
        <w:autoSpaceDE w:val="0"/>
        <w:autoSpaceDN w:val="0"/>
        <w:adjustRightInd w:val="0"/>
        <w:rPr>
          <w:rFonts w:cs="TimesNewRomanPSMT" w:hint="eastAsia"/>
        </w:rPr>
      </w:pPr>
      <w:r w:rsidRPr="00DB5443">
        <w:rPr>
          <w:rFonts w:cs="TimesNewRomanPSMT"/>
        </w:rPr>
        <w:t>Theories may include, but are not limited to:</w:t>
      </w:r>
    </w:p>
    <w:p w14:paraId="78EBCBFE" w14:textId="77777777" w:rsidR="00DB5443" w:rsidRPr="00DB5443" w:rsidRDefault="00DB5443" w:rsidP="00DB5443">
      <w:pPr>
        <w:pStyle w:val="ListParagraph"/>
        <w:widowControl w:val="0"/>
        <w:numPr>
          <w:ilvl w:val="0"/>
          <w:numId w:val="2"/>
        </w:numPr>
        <w:autoSpaceDE w:val="0"/>
        <w:autoSpaceDN w:val="0"/>
        <w:adjustRightInd w:val="0"/>
        <w:rPr>
          <w:rFonts w:cs="TimesNewRomanPSMT" w:hint="eastAsia"/>
        </w:rPr>
      </w:pPr>
      <w:proofErr w:type="gramStart"/>
      <w:r w:rsidRPr="00DB5443">
        <w:rPr>
          <w:rFonts w:cs="TimesNewRomanPSMT"/>
        </w:rPr>
        <w:t>informational</w:t>
      </w:r>
      <w:proofErr w:type="gramEnd"/>
      <w:r w:rsidRPr="00DB5443">
        <w:rPr>
          <w:rFonts w:cs="TimesNewRomanPSMT"/>
        </w:rPr>
        <w:t xml:space="preserve"> social influence</w:t>
      </w:r>
    </w:p>
    <w:p w14:paraId="08FDD39A" w14:textId="77777777" w:rsidR="00DB5443" w:rsidRDefault="00DB5443" w:rsidP="00DB5443">
      <w:pPr>
        <w:pStyle w:val="ListParagraph"/>
        <w:widowControl w:val="0"/>
        <w:numPr>
          <w:ilvl w:val="0"/>
          <w:numId w:val="2"/>
        </w:numPr>
        <w:autoSpaceDE w:val="0"/>
        <w:autoSpaceDN w:val="0"/>
        <w:adjustRightInd w:val="0"/>
        <w:rPr>
          <w:rFonts w:cs="TimesNewRomanPSMT" w:hint="eastAsia"/>
        </w:rPr>
      </w:pPr>
      <w:proofErr w:type="gramStart"/>
      <w:r w:rsidRPr="00DB5443">
        <w:rPr>
          <w:rFonts w:cs="TimesNewRomanPSMT"/>
        </w:rPr>
        <w:t>normative</w:t>
      </w:r>
      <w:proofErr w:type="gramEnd"/>
      <w:r w:rsidRPr="00DB5443">
        <w:rPr>
          <w:rFonts w:cs="TimesNewRomanPSMT"/>
        </w:rPr>
        <w:t xml:space="preserve"> social influence</w:t>
      </w:r>
    </w:p>
    <w:p w14:paraId="0CAB6608" w14:textId="77777777" w:rsidR="00DB5443" w:rsidRPr="00DB5443" w:rsidRDefault="00DB5443" w:rsidP="00DB5443">
      <w:pPr>
        <w:widowControl w:val="0"/>
        <w:autoSpaceDE w:val="0"/>
        <w:autoSpaceDN w:val="0"/>
        <w:adjustRightInd w:val="0"/>
        <w:rPr>
          <w:rFonts w:cs="TimesNewRomanPSMT" w:hint="eastAsia"/>
        </w:rPr>
      </w:pPr>
    </w:p>
    <w:p w14:paraId="26760565" w14:textId="77777777" w:rsidR="00DB5443" w:rsidRPr="00591793" w:rsidRDefault="00DB5443" w:rsidP="00DB5443">
      <w:pPr>
        <w:widowControl w:val="0"/>
        <w:autoSpaceDE w:val="0"/>
        <w:autoSpaceDN w:val="0"/>
        <w:adjustRightInd w:val="0"/>
        <w:rPr>
          <w:rFonts w:cs="TimesNewRomanPSMT" w:hint="eastAsia"/>
        </w:rPr>
      </w:pPr>
      <w:r w:rsidRPr="00591793">
        <w:rPr>
          <w:rFonts w:cs="TimesNewRomanPSMT"/>
        </w:rPr>
        <w:t>A wide range of studies may be considered, including but not limited to:</w:t>
      </w:r>
    </w:p>
    <w:p w14:paraId="18B9A7EB" w14:textId="77777777" w:rsidR="00DB5443" w:rsidRPr="00591793" w:rsidRDefault="00DB5443" w:rsidP="00DB5443">
      <w:pPr>
        <w:pStyle w:val="ListParagraph"/>
        <w:widowControl w:val="0"/>
        <w:numPr>
          <w:ilvl w:val="0"/>
          <w:numId w:val="2"/>
        </w:numPr>
        <w:autoSpaceDE w:val="0"/>
        <w:autoSpaceDN w:val="0"/>
        <w:adjustRightInd w:val="0"/>
        <w:rPr>
          <w:rFonts w:cs="TimesNewRomanPSMT" w:hint="eastAsia"/>
        </w:rPr>
      </w:pPr>
      <w:r w:rsidRPr="00591793">
        <w:rPr>
          <w:rFonts w:cs="TimesNewRomanPSMT"/>
        </w:rPr>
        <w:t>Asch</w:t>
      </w:r>
    </w:p>
    <w:p w14:paraId="256BAD00" w14:textId="77777777" w:rsidR="00DB5443" w:rsidRPr="00591793" w:rsidRDefault="00DB5443" w:rsidP="00DB5443">
      <w:pPr>
        <w:pStyle w:val="ListParagraph"/>
        <w:widowControl w:val="0"/>
        <w:numPr>
          <w:ilvl w:val="0"/>
          <w:numId w:val="2"/>
        </w:numPr>
        <w:autoSpaceDE w:val="0"/>
        <w:autoSpaceDN w:val="0"/>
        <w:adjustRightInd w:val="0"/>
        <w:rPr>
          <w:rFonts w:cs="TimesNewRomanPSMT" w:hint="eastAsia"/>
        </w:rPr>
      </w:pPr>
      <w:proofErr w:type="spellStart"/>
      <w:r w:rsidRPr="00591793">
        <w:rPr>
          <w:rFonts w:cs="TimesNewRomanPSMT"/>
        </w:rPr>
        <w:t>Sherif</w:t>
      </w:r>
      <w:proofErr w:type="spellEnd"/>
    </w:p>
    <w:p w14:paraId="2ED8AF8B" w14:textId="77777777" w:rsidR="00DB5443" w:rsidRPr="00591793" w:rsidRDefault="00DB5443" w:rsidP="00DB5443">
      <w:pPr>
        <w:pStyle w:val="ListParagraph"/>
        <w:widowControl w:val="0"/>
        <w:numPr>
          <w:ilvl w:val="0"/>
          <w:numId w:val="2"/>
        </w:numPr>
        <w:autoSpaceDE w:val="0"/>
        <w:autoSpaceDN w:val="0"/>
        <w:adjustRightInd w:val="0"/>
        <w:rPr>
          <w:rFonts w:cs="TimesNewRomanPSMT" w:hint="eastAsia"/>
        </w:rPr>
      </w:pPr>
      <w:r w:rsidRPr="00591793">
        <w:rPr>
          <w:rFonts w:cs="TimesNewRomanPSMT"/>
        </w:rPr>
        <w:t>Crutchfield</w:t>
      </w:r>
    </w:p>
    <w:p w14:paraId="49D33978" w14:textId="77777777" w:rsidR="00DB5443" w:rsidRPr="00591793" w:rsidRDefault="00DB5443" w:rsidP="00DB5443">
      <w:pPr>
        <w:pStyle w:val="ListParagraph"/>
        <w:widowControl w:val="0"/>
        <w:numPr>
          <w:ilvl w:val="0"/>
          <w:numId w:val="2"/>
        </w:numPr>
        <w:autoSpaceDE w:val="0"/>
        <w:autoSpaceDN w:val="0"/>
        <w:adjustRightInd w:val="0"/>
        <w:rPr>
          <w:rFonts w:cs="TimesNewRomanPSMT" w:hint="eastAsia"/>
        </w:rPr>
      </w:pPr>
      <w:r w:rsidRPr="00591793">
        <w:rPr>
          <w:rFonts w:cs="TimesNewRomanPSMT"/>
        </w:rPr>
        <w:t xml:space="preserve">Berry’s study of the </w:t>
      </w:r>
      <w:proofErr w:type="spellStart"/>
      <w:r w:rsidRPr="00591793">
        <w:rPr>
          <w:rFonts w:cs="TimesNewRomanPSMT"/>
        </w:rPr>
        <w:t>Temne</w:t>
      </w:r>
      <w:proofErr w:type="spellEnd"/>
      <w:r w:rsidRPr="00591793">
        <w:rPr>
          <w:rFonts w:cs="TimesNewRomanPSMT"/>
        </w:rPr>
        <w:t xml:space="preserve"> and </w:t>
      </w:r>
      <w:proofErr w:type="spellStart"/>
      <w:r w:rsidRPr="00591793">
        <w:rPr>
          <w:rFonts w:cs="TimesNewRomanPSMT"/>
        </w:rPr>
        <w:t>Inuits</w:t>
      </w:r>
      <w:proofErr w:type="spellEnd"/>
      <w:r w:rsidRPr="00591793">
        <w:rPr>
          <w:rFonts w:cs="TimesNewRomanPSMT"/>
        </w:rPr>
        <w:t>.</w:t>
      </w:r>
    </w:p>
    <w:p w14:paraId="47507F7E" w14:textId="77777777" w:rsidR="00DB5443" w:rsidRPr="00591793" w:rsidRDefault="00DB5443" w:rsidP="00DB5443">
      <w:pPr>
        <w:widowControl w:val="0"/>
        <w:autoSpaceDE w:val="0"/>
        <w:autoSpaceDN w:val="0"/>
        <w:adjustRightInd w:val="0"/>
        <w:rPr>
          <w:rFonts w:cs="TimesNewRomanPSMT" w:hint="eastAsia"/>
        </w:rPr>
      </w:pPr>
    </w:p>
    <w:p w14:paraId="7637E8E0" w14:textId="77777777" w:rsidR="00DB5443" w:rsidRPr="00591793" w:rsidRDefault="00DB5443" w:rsidP="00DB5443">
      <w:pPr>
        <w:widowControl w:val="0"/>
        <w:autoSpaceDE w:val="0"/>
        <w:autoSpaceDN w:val="0"/>
        <w:adjustRightInd w:val="0"/>
        <w:rPr>
          <w:rFonts w:cs="TimesNewRomanPSMT" w:hint="eastAsia"/>
        </w:rPr>
      </w:pPr>
      <w:r w:rsidRPr="00591793">
        <w:rPr>
          <w:rFonts w:cs="TimesNewRomanPSMT"/>
        </w:rPr>
        <w:t xml:space="preserve">Evaluation of research may include methodological, cultural, </w:t>
      </w:r>
      <w:proofErr w:type="gramStart"/>
      <w:r w:rsidRPr="00591793">
        <w:rPr>
          <w:rFonts w:cs="TimesNewRomanPSMT"/>
        </w:rPr>
        <w:t>ethical</w:t>
      </w:r>
      <w:proofErr w:type="gramEnd"/>
      <w:r w:rsidRPr="00591793">
        <w:rPr>
          <w:rFonts w:cs="TimesNewRomanPSMT"/>
        </w:rPr>
        <w:t xml:space="preserve"> or gender considerations, applications of the theory, comparison to other theories, or contrary findings or explanations.</w:t>
      </w:r>
    </w:p>
    <w:p w14:paraId="59EDCCFD" w14:textId="77777777" w:rsidR="00591793" w:rsidRDefault="00591793" w:rsidP="00591793">
      <w:pPr>
        <w:widowControl w:val="0"/>
        <w:autoSpaceDE w:val="0"/>
        <w:autoSpaceDN w:val="0"/>
        <w:adjustRightInd w:val="0"/>
        <w:rPr>
          <w:rFonts w:cs="TimesNewRomanPSMT" w:hint="eastAsia"/>
        </w:rPr>
      </w:pPr>
    </w:p>
    <w:p w14:paraId="12DDEA3E" w14:textId="77777777" w:rsidR="00D40965" w:rsidRPr="00D40965" w:rsidRDefault="00D40965" w:rsidP="00D40965">
      <w:pPr>
        <w:widowControl w:val="0"/>
        <w:autoSpaceDE w:val="0"/>
        <w:autoSpaceDN w:val="0"/>
        <w:adjustRightInd w:val="0"/>
        <w:rPr>
          <w:rFonts w:cs="TimesNewRomanPSMT" w:hint="eastAsia"/>
        </w:rPr>
      </w:pPr>
      <w:r w:rsidRPr="00D40965">
        <w:rPr>
          <w:rFonts w:cs="TimesNewRomanPSMT"/>
        </w:rPr>
        <w:t>Although a discussion of both strengths and limitations is required, it does not have to be evenly balanced to gain high marks.</w:t>
      </w:r>
    </w:p>
    <w:p w14:paraId="66700850" w14:textId="77777777" w:rsidR="00D40965" w:rsidRPr="00591793" w:rsidRDefault="00D40965" w:rsidP="00591793">
      <w:pPr>
        <w:widowControl w:val="0"/>
        <w:autoSpaceDE w:val="0"/>
        <w:autoSpaceDN w:val="0"/>
        <w:adjustRightInd w:val="0"/>
        <w:rPr>
          <w:rFonts w:cs="TimesNewRomanPSMT" w:hint="eastAsia"/>
        </w:rPr>
      </w:pPr>
    </w:p>
    <w:p w14:paraId="72FBE350" w14:textId="77777777" w:rsidR="00DB5443" w:rsidRPr="00591793" w:rsidRDefault="00DB5443" w:rsidP="00591793">
      <w:pPr>
        <w:widowControl w:val="0"/>
        <w:autoSpaceDE w:val="0"/>
        <w:autoSpaceDN w:val="0"/>
        <w:adjustRightInd w:val="0"/>
        <w:rPr>
          <w:rFonts w:cs="TimesNewRomanPSMT" w:hint="eastAsia"/>
        </w:rPr>
      </w:pPr>
      <w:r w:rsidRPr="00591793">
        <w:rPr>
          <w:rFonts w:cs="TimesNewRomanPSMT"/>
        </w:rPr>
        <w:t>Candidates may evaluate a smaller number of the</w:t>
      </w:r>
      <w:r w:rsidR="00591793" w:rsidRPr="00591793">
        <w:rPr>
          <w:rFonts w:cs="TimesNewRomanPSMT"/>
        </w:rPr>
        <w:t xml:space="preserve">ories and/or studies in order to </w:t>
      </w:r>
      <w:r w:rsidRPr="00591793">
        <w:rPr>
          <w:rFonts w:cs="TimesNewRomanPSMT"/>
        </w:rPr>
        <w:t>demonstrate depth of knowledge, or may evaluate a larger number of theories and/or</w:t>
      </w:r>
      <w:r w:rsidR="00591793" w:rsidRPr="00591793">
        <w:rPr>
          <w:rFonts w:cs="TimesNewRomanPSMT"/>
        </w:rPr>
        <w:t xml:space="preserve"> </w:t>
      </w:r>
      <w:r w:rsidRPr="00591793">
        <w:rPr>
          <w:rFonts w:cs="TimesNewRomanPSMT"/>
        </w:rPr>
        <w:t>studies in order to demonstrate breadth of knowledge. Both approaches are equally</w:t>
      </w:r>
      <w:r w:rsidR="00591793" w:rsidRPr="00591793">
        <w:rPr>
          <w:rFonts w:cs="TimesNewRomanPSMT"/>
        </w:rPr>
        <w:t xml:space="preserve"> </w:t>
      </w:r>
      <w:r w:rsidRPr="00591793">
        <w:rPr>
          <w:rFonts w:cs="TimesNewRomanPSMT"/>
        </w:rPr>
        <w:t>acceptable.</w:t>
      </w:r>
    </w:p>
    <w:p w14:paraId="444C76BD" w14:textId="77777777" w:rsidR="00DB5443" w:rsidRDefault="00DB5443" w:rsidP="00DB5443">
      <w:pPr>
        <w:rPr>
          <w:rFonts w:hint="eastAsia"/>
        </w:rPr>
      </w:pPr>
    </w:p>
    <w:p w14:paraId="4474021B" w14:textId="77777777" w:rsidR="00591793" w:rsidRDefault="00591793" w:rsidP="00DB5443">
      <w:pPr>
        <w:rPr>
          <w:rFonts w:hint="eastAsia"/>
        </w:rPr>
      </w:pPr>
    </w:p>
    <w:p w14:paraId="3181B0A8" w14:textId="77777777" w:rsidR="00591793" w:rsidRDefault="00591793" w:rsidP="00DB5443">
      <w:pPr>
        <w:rPr>
          <w:rFonts w:hint="eastAsia"/>
        </w:rPr>
      </w:pPr>
    </w:p>
    <w:p w14:paraId="5762F79E" w14:textId="77777777" w:rsidR="00DB5443" w:rsidRDefault="00DB5443" w:rsidP="00DB5443">
      <w:pPr>
        <w:rPr>
          <w:rFonts w:hint="eastAsia"/>
          <w:b/>
        </w:rPr>
      </w:pPr>
      <w:r w:rsidRPr="00591793">
        <w:rPr>
          <w:b/>
        </w:rPr>
        <w:t>Discuss factors influencing conformity</w:t>
      </w:r>
    </w:p>
    <w:p w14:paraId="0AC25965" w14:textId="77777777" w:rsidR="00D40965" w:rsidRDefault="00D40965" w:rsidP="00DB5443">
      <w:pPr>
        <w:rPr>
          <w:rFonts w:hint="eastAsia"/>
          <w:b/>
        </w:rPr>
      </w:pPr>
    </w:p>
    <w:p w14:paraId="5CEC27DE" w14:textId="77777777" w:rsidR="00D40965" w:rsidRDefault="00D40965" w:rsidP="00D40965">
      <w:pPr>
        <w:pStyle w:val="Default"/>
        <w:rPr>
          <w:sz w:val="23"/>
          <w:szCs w:val="23"/>
        </w:rPr>
      </w:pPr>
      <w:r>
        <w:rPr>
          <w:sz w:val="23"/>
          <w:szCs w:val="23"/>
        </w:rPr>
        <w:t xml:space="preserve">More than one factor should be addressed. </w:t>
      </w:r>
    </w:p>
    <w:p w14:paraId="1C78E05D" w14:textId="77777777" w:rsidR="002F7500" w:rsidRDefault="002F7500" w:rsidP="00D40965">
      <w:pPr>
        <w:pStyle w:val="Default"/>
        <w:rPr>
          <w:sz w:val="23"/>
          <w:szCs w:val="23"/>
        </w:rPr>
      </w:pPr>
    </w:p>
    <w:p w14:paraId="6AC267FB" w14:textId="77777777" w:rsidR="00D40965" w:rsidRDefault="00D40965" w:rsidP="00D40965">
      <w:pPr>
        <w:pStyle w:val="Default"/>
        <w:rPr>
          <w:sz w:val="23"/>
          <w:szCs w:val="23"/>
        </w:rPr>
      </w:pPr>
      <w:r>
        <w:rPr>
          <w:sz w:val="23"/>
          <w:szCs w:val="23"/>
        </w:rPr>
        <w:t xml:space="preserve">There are a number of factors influencing conformity that can be discussed, including: </w:t>
      </w:r>
    </w:p>
    <w:p w14:paraId="55EA66DC" w14:textId="77777777" w:rsidR="002F7500" w:rsidRDefault="002F7500" w:rsidP="00D40965">
      <w:pPr>
        <w:pStyle w:val="Default"/>
        <w:rPr>
          <w:sz w:val="23"/>
          <w:szCs w:val="23"/>
        </w:rPr>
      </w:pPr>
    </w:p>
    <w:p w14:paraId="3F1BFD72" w14:textId="77777777" w:rsidR="00D40965" w:rsidRDefault="00D40965" w:rsidP="00D40965">
      <w:pPr>
        <w:pStyle w:val="Default"/>
        <w:spacing w:after="44"/>
        <w:rPr>
          <w:sz w:val="23"/>
          <w:szCs w:val="23"/>
        </w:rPr>
      </w:pPr>
      <w:r>
        <w:rPr>
          <w:sz w:val="23"/>
          <w:szCs w:val="23"/>
        </w:rPr>
        <w:t xml:space="preserve"> culture </w:t>
      </w:r>
    </w:p>
    <w:p w14:paraId="2FD6E285" w14:textId="77777777" w:rsidR="00D40965" w:rsidRDefault="00D40965" w:rsidP="00D40965">
      <w:pPr>
        <w:pStyle w:val="Default"/>
        <w:spacing w:after="44"/>
        <w:rPr>
          <w:sz w:val="23"/>
          <w:szCs w:val="23"/>
        </w:rPr>
      </w:pPr>
      <w:r>
        <w:rPr>
          <w:sz w:val="23"/>
          <w:szCs w:val="23"/>
        </w:rPr>
        <w:t xml:space="preserve"> groupthink </w:t>
      </w:r>
    </w:p>
    <w:p w14:paraId="61BCD591" w14:textId="77777777" w:rsidR="00D40965" w:rsidRDefault="00D40965" w:rsidP="00D40965">
      <w:pPr>
        <w:pStyle w:val="Default"/>
        <w:spacing w:after="44"/>
        <w:rPr>
          <w:sz w:val="23"/>
          <w:szCs w:val="23"/>
        </w:rPr>
      </w:pPr>
      <w:r>
        <w:rPr>
          <w:sz w:val="23"/>
          <w:szCs w:val="23"/>
        </w:rPr>
        <w:t xml:space="preserve"> risky shift </w:t>
      </w:r>
    </w:p>
    <w:p w14:paraId="2459FFEF" w14:textId="77777777" w:rsidR="00D40965" w:rsidRDefault="00D40965" w:rsidP="00D40965">
      <w:pPr>
        <w:pStyle w:val="Default"/>
        <w:spacing w:after="44"/>
        <w:rPr>
          <w:sz w:val="23"/>
          <w:szCs w:val="23"/>
        </w:rPr>
      </w:pPr>
      <w:r>
        <w:rPr>
          <w:sz w:val="23"/>
          <w:szCs w:val="23"/>
        </w:rPr>
        <w:t xml:space="preserve"> minority influence </w:t>
      </w:r>
    </w:p>
    <w:p w14:paraId="2BBC28A6" w14:textId="77777777" w:rsidR="00D40965" w:rsidRDefault="00D40965" w:rsidP="00D40965">
      <w:pPr>
        <w:pStyle w:val="Default"/>
        <w:rPr>
          <w:sz w:val="23"/>
          <w:szCs w:val="23"/>
        </w:rPr>
      </w:pPr>
      <w:proofErr w:type="gramStart"/>
      <w:r>
        <w:rPr>
          <w:sz w:val="23"/>
          <w:szCs w:val="23"/>
        </w:rPr>
        <w:t> group size.</w:t>
      </w:r>
      <w:proofErr w:type="gramEnd"/>
      <w:r>
        <w:rPr>
          <w:sz w:val="23"/>
          <w:szCs w:val="23"/>
        </w:rPr>
        <w:t xml:space="preserve"> </w:t>
      </w:r>
    </w:p>
    <w:p w14:paraId="1EE5FBD8" w14:textId="77777777" w:rsidR="00682B75" w:rsidRDefault="00682B75" w:rsidP="00D40965">
      <w:pPr>
        <w:pStyle w:val="Default"/>
        <w:rPr>
          <w:sz w:val="23"/>
          <w:szCs w:val="23"/>
        </w:rPr>
      </w:pPr>
    </w:p>
    <w:p w14:paraId="29F9B35D" w14:textId="77777777" w:rsidR="00D40965" w:rsidRDefault="00D40965" w:rsidP="00D40965">
      <w:pPr>
        <w:pStyle w:val="Default"/>
        <w:rPr>
          <w:sz w:val="23"/>
          <w:szCs w:val="23"/>
        </w:rPr>
      </w:pPr>
      <w:r>
        <w:rPr>
          <w:sz w:val="23"/>
          <w:szCs w:val="23"/>
        </w:rPr>
        <w:t xml:space="preserve">In a meta-analysis, Bond (2005) found differences in the effect of group size based on the type of social influence. Specific research on the influence of unanimity and accuracy, cohesion, confidence, gender, status, cultural norms, among others could be cited. </w:t>
      </w:r>
    </w:p>
    <w:p w14:paraId="77FB412B" w14:textId="77777777" w:rsidR="00682B75" w:rsidRDefault="00682B75" w:rsidP="00D40965">
      <w:pPr>
        <w:rPr>
          <w:sz w:val="23"/>
          <w:szCs w:val="23"/>
        </w:rPr>
      </w:pPr>
    </w:p>
    <w:p w14:paraId="6B62CBD4" w14:textId="64440C7A" w:rsidR="00D40965" w:rsidRPr="00591793" w:rsidRDefault="00D40965" w:rsidP="00D40965">
      <w:pPr>
        <w:rPr>
          <w:rFonts w:hint="eastAsia"/>
          <w:b/>
        </w:rPr>
      </w:pPr>
      <w:r>
        <w:rPr>
          <w:sz w:val="23"/>
          <w:szCs w:val="23"/>
        </w:rPr>
        <w:t xml:space="preserve">Candidates may discuss a relatively small number of factors in greater depth or </w:t>
      </w:r>
      <w:r w:rsidRPr="00682B75">
        <w:rPr>
          <w:sz w:val="23"/>
          <w:szCs w:val="23"/>
          <w:u w:val="single"/>
        </w:rPr>
        <w:t>a greater number of factors in less depth, thereby demonstrating a breadth of understanding</w:t>
      </w:r>
      <w:r w:rsidR="002F7500">
        <w:rPr>
          <w:sz w:val="23"/>
          <w:szCs w:val="23"/>
          <w:u w:val="single"/>
        </w:rPr>
        <w:t xml:space="preserve"> (</w:t>
      </w:r>
      <w:r w:rsidR="002F7500" w:rsidRPr="002F7500">
        <w:rPr>
          <w:i/>
          <w:sz w:val="23"/>
          <w:szCs w:val="23"/>
          <w:u w:val="single"/>
        </w:rPr>
        <w:t>this is our approach</w:t>
      </w:r>
      <w:r w:rsidR="002F7500">
        <w:rPr>
          <w:sz w:val="23"/>
          <w:szCs w:val="23"/>
          <w:u w:val="single"/>
        </w:rPr>
        <w:t>)</w:t>
      </w:r>
      <w:r>
        <w:rPr>
          <w:sz w:val="23"/>
          <w:szCs w:val="23"/>
        </w:rPr>
        <w:t>. Both approaches are equally acceptable.</w:t>
      </w:r>
      <w:bookmarkStart w:id="0" w:name="_GoBack"/>
      <w:bookmarkEnd w:id="0"/>
    </w:p>
    <w:sectPr w:rsidR="00D40965" w:rsidRPr="00591793"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altName w:val="MT Extra"/>
    <w:panose1 w:val="05000000000000000000"/>
    <w:charset w:val="02"/>
    <w:family w:val="auto"/>
    <w:notTrueType/>
    <w:pitch w:val="variable"/>
    <w:sig w:usb0="00000000" w:usb1="10000000" w:usb2="00000000" w:usb3="00000000" w:csb0="80000000"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NewRomanPSMT">
    <w:altName w:val="Geneva"/>
    <w:panose1 w:val="00000000000000000000"/>
    <w:charset w:val="00"/>
    <w:family w:val="roman"/>
    <w:notTrueType/>
    <w:pitch w:val="default"/>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7CC8"/>
    <w:multiLevelType w:val="hybridMultilevel"/>
    <w:tmpl w:val="F362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8A1576"/>
    <w:multiLevelType w:val="hybridMultilevel"/>
    <w:tmpl w:val="733E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43"/>
    <w:rsid w:val="002F7500"/>
    <w:rsid w:val="00591793"/>
    <w:rsid w:val="00682B75"/>
    <w:rsid w:val="009771CB"/>
    <w:rsid w:val="00AF22F5"/>
    <w:rsid w:val="00CD231E"/>
    <w:rsid w:val="00D40965"/>
    <w:rsid w:val="00DB5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47FD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443"/>
    <w:pPr>
      <w:ind w:left="720"/>
      <w:contextualSpacing/>
    </w:pPr>
  </w:style>
  <w:style w:type="paragraph" w:styleId="BalloonText">
    <w:name w:val="Balloon Text"/>
    <w:basedOn w:val="Normal"/>
    <w:link w:val="BalloonTextChar"/>
    <w:uiPriority w:val="99"/>
    <w:semiHidden/>
    <w:unhideWhenUsed/>
    <w:rsid w:val="00DB5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443"/>
    <w:rPr>
      <w:rFonts w:ascii="Lucida Grande" w:hAnsi="Lucida Grande" w:cs="Lucida Grande"/>
      <w:sz w:val="18"/>
      <w:szCs w:val="18"/>
    </w:rPr>
  </w:style>
  <w:style w:type="paragraph" w:customStyle="1" w:styleId="Default">
    <w:name w:val="Default"/>
    <w:rsid w:val="00D40965"/>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443"/>
    <w:pPr>
      <w:ind w:left="720"/>
      <w:contextualSpacing/>
    </w:pPr>
  </w:style>
  <w:style w:type="paragraph" w:styleId="BalloonText">
    <w:name w:val="Balloon Text"/>
    <w:basedOn w:val="Normal"/>
    <w:link w:val="BalloonTextChar"/>
    <w:uiPriority w:val="99"/>
    <w:semiHidden/>
    <w:unhideWhenUsed/>
    <w:rsid w:val="00DB5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5443"/>
    <w:rPr>
      <w:rFonts w:ascii="Lucida Grande" w:hAnsi="Lucida Grande" w:cs="Lucida Grande"/>
      <w:sz w:val="18"/>
      <w:szCs w:val="18"/>
    </w:rPr>
  </w:style>
  <w:style w:type="paragraph" w:customStyle="1" w:styleId="Default">
    <w:name w:val="Default"/>
    <w:rsid w:val="00D40965"/>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265</Words>
  <Characters>1515</Characters>
  <Application>Microsoft Macintosh Word</Application>
  <DocSecurity>0</DocSecurity>
  <Lines>12</Lines>
  <Paragraphs>3</Paragraphs>
  <ScaleCrop>false</ScaleCrop>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5</cp:revision>
  <dcterms:created xsi:type="dcterms:W3CDTF">2013-11-12T13:01:00Z</dcterms:created>
  <dcterms:modified xsi:type="dcterms:W3CDTF">2013-11-13T12:52:00Z</dcterms:modified>
</cp:coreProperties>
</file>