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D75CC" w14:textId="77777777" w:rsidR="00081FE1" w:rsidRDefault="00081FE1" w:rsidP="00E86D66">
      <w:pPr>
        <w:rPr>
          <w:u w:val="single"/>
        </w:rPr>
      </w:pPr>
    </w:p>
    <w:p w14:paraId="70084B1D" w14:textId="2DF21DC9" w:rsidR="00E86D66" w:rsidRPr="00081FE1" w:rsidRDefault="00081FE1" w:rsidP="00E86D66">
      <w:pPr>
        <w:rPr>
          <w:u w:val="single"/>
        </w:rPr>
      </w:pPr>
      <w:r w:rsidRPr="00081FE1">
        <w:rPr>
          <w:u w:val="single"/>
        </w:rPr>
        <w:t>Introduction</w:t>
      </w:r>
    </w:p>
    <w:p w14:paraId="09367B6B" w14:textId="77777777" w:rsidR="00E86D66" w:rsidRDefault="00E86D66" w:rsidP="00E86D66">
      <w:r>
        <w:t xml:space="preserve">Define </w:t>
      </w:r>
      <w:proofErr w:type="spellStart"/>
      <w:proofErr w:type="gramStart"/>
      <w:r>
        <w:t>Prosocial</w:t>
      </w:r>
      <w:proofErr w:type="spellEnd"/>
      <w:proofErr w:type="gramEnd"/>
      <w:r>
        <w:t xml:space="preserve"> behavior.</w:t>
      </w:r>
    </w:p>
    <w:p w14:paraId="0A29704C" w14:textId="77777777" w:rsidR="00E86D66" w:rsidRDefault="00E86D66" w:rsidP="00E86D66"/>
    <w:p w14:paraId="72C5BE77" w14:textId="77777777" w:rsidR="00E86D66" w:rsidRDefault="00E86D66" w:rsidP="00E86D66">
      <w:r>
        <w:t xml:space="preserve">Define culture. </w:t>
      </w:r>
      <w:proofErr w:type="gramStart"/>
      <w:r>
        <w:t>Matsumoto (2004).</w:t>
      </w:r>
      <w:proofErr w:type="gramEnd"/>
      <w:r>
        <w:t xml:space="preserve"> Culture can be defined as a dynamic system of rules, explicit and implicit, established by groups in order to ensure their survival, involving attitudes, values, beliefs, norms and </w:t>
      </w:r>
      <w:proofErr w:type="spellStart"/>
      <w:r>
        <w:t>behaviours</w:t>
      </w:r>
      <w:proofErr w:type="spellEnd"/>
      <w:r>
        <w:t>.</w:t>
      </w:r>
    </w:p>
    <w:p w14:paraId="2728D78A" w14:textId="77777777" w:rsidR="00E86D66" w:rsidRDefault="00E86D66" w:rsidP="00E86D66"/>
    <w:p w14:paraId="64E189CB" w14:textId="77777777" w:rsidR="00E86D66" w:rsidRDefault="00E86D66" w:rsidP="00E86D66">
      <w:r>
        <w:t xml:space="preserve">Below I will examine </w:t>
      </w:r>
      <w:proofErr w:type="gramStart"/>
      <w:r>
        <w:t>cross cultural</w:t>
      </w:r>
      <w:proofErr w:type="gramEnd"/>
      <w:r>
        <w:t xml:space="preserve"> differences in </w:t>
      </w:r>
      <w:proofErr w:type="spellStart"/>
      <w:r>
        <w:t>prosocial</w:t>
      </w:r>
      <w:proofErr w:type="spellEnd"/>
      <w:r>
        <w:t xml:space="preserve"> behavior and whether culture does play a role in one’s likelihood to help in some situations.</w:t>
      </w:r>
    </w:p>
    <w:p w14:paraId="3B702795" w14:textId="77777777" w:rsidR="00E86D66" w:rsidRDefault="00E86D66" w:rsidP="00E86D66"/>
    <w:p w14:paraId="758A5635" w14:textId="571A3440" w:rsidR="00081FE1" w:rsidRPr="00081FE1" w:rsidRDefault="00081FE1" w:rsidP="00E86D66">
      <w:pPr>
        <w:rPr>
          <w:u w:val="single"/>
        </w:rPr>
      </w:pPr>
      <w:r w:rsidRPr="00081FE1">
        <w:rPr>
          <w:u w:val="single"/>
        </w:rPr>
        <w:t>Main Body</w:t>
      </w:r>
    </w:p>
    <w:p w14:paraId="4E4CDB6A" w14:textId="77777777" w:rsidR="00081FE1" w:rsidRDefault="00081FE1" w:rsidP="00E86D66">
      <w:bookmarkStart w:id="0" w:name="_GoBack"/>
      <w:bookmarkEnd w:id="0"/>
    </w:p>
    <w:p w14:paraId="58AB5C1D" w14:textId="77777777" w:rsidR="00E86D66" w:rsidRDefault="00E86D66" w:rsidP="00E86D66">
      <w:r w:rsidRPr="005F5FB8">
        <w:rPr>
          <w:u w:val="single"/>
        </w:rPr>
        <w:t>Differences in child rear</w:t>
      </w:r>
      <w:r w:rsidR="004B04DB" w:rsidRPr="005F5FB8">
        <w:rPr>
          <w:u w:val="single"/>
        </w:rPr>
        <w:t>ing practices</w:t>
      </w:r>
      <w:r w:rsidR="005F5FB8">
        <w:t xml:space="preserve">- </w:t>
      </w:r>
      <w:r w:rsidR="004B04DB">
        <w:t xml:space="preserve">can cause </w:t>
      </w:r>
      <w:proofErr w:type="gramStart"/>
      <w:r w:rsidR="004B04DB">
        <w:t>cross cultural</w:t>
      </w:r>
      <w:proofErr w:type="gramEnd"/>
      <w:r w:rsidR="004B04DB">
        <w:t xml:space="preserve"> differences in </w:t>
      </w:r>
      <w:proofErr w:type="spellStart"/>
      <w:r w:rsidR="004B04DB">
        <w:t>prosocial</w:t>
      </w:r>
      <w:proofErr w:type="spellEnd"/>
      <w:r w:rsidR="004B04DB">
        <w:t xml:space="preserve"> behavior.</w:t>
      </w:r>
    </w:p>
    <w:p w14:paraId="40F9AE56" w14:textId="77777777" w:rsidR="004B04DB" w:rsidRDefault="004B04DB" w:rsidP="00E86D66"/>
    <w:p w14:paraId="45A1DF00" w14:textId="77777777" w:rsidR="00E86D66" w:rsidRDefault="00E86D66" w:rsidP="00E86D66">
      <w:r>
        <w:t>Whiting and Whiting (1975)</w:t>
      </w:r>
    </w:p>
    <w:p w14:paraId="6DF4E0F5" w14:textId="77777777" w:rsidR="00E86D66" w:rsidRDefault="004B04DB" w:rsidP="004B04DB">
      <w:proofErr w:type="gramStart"/>
      <w:r>
        <w:t>A naturalistic observation.</w:t>
      </w:r>
      <w:proofErr w:type="gramEnd"/>
      <w:r>
        <w:t xml:space="preserve"> </w:t>
      </w:r>
      <w:proofErr w:type="gramStart"/>
      <w:r>
        <w:t>Observed children between the ages of 3-11.Compared</w:t>
      </w:r>
      <w:r w:rsidR="00E86D66" w:rsidRPr="00E86D66">
        <w:t xml:space="preserve"> six different cultures as a result of child rea</w:t>
      </w:r>
      <w:r>
        <w:t>ring practices.</w:t>
      </w:r>
      <w:proofErr w:type="gramEnd"/>
      <w:r>
        <w:t xml:space="preserve"> Kenya, Philippi</w:t>
      </w:r>
      <w:r w:rsidR="00E86D66" w:rsidRPr="00E86D66">
        <w:t>n</w:t>
      </w:r>
      <w:r>
        <w:t>e</w:t>
      </w:r>
      <w:r w:rsidR="00E86D66" w:rsidRPr="00E86D66">
        <w:t xml:space="preserve">s, Japan, </w:t>
      </w:r>
      <w:r>
        <w:t xml:space="preserve">India, Mexico, USA. </w:t>
      </w:r>
    </w:p>
    <w:p w14:paraId="66670EAA" w14:textId="77777777" w:rsidR="004B04DB" w:rsidRDefault="004B04DB" w:rsidP="004B04DB">
      <w:pPr>
        <w:rPr>
          <w:u w:val="single"/>
        </w:rPr>
      </w:pPr>
      <w:r w:rsidRPr="004B04DB">
        <w:rPr>
          <w:u w:val="single"/>
        </w:rPr>
        <w:t>Results</w:t>
      </w:r>
      <w:r>
        <w:rPr>
          <w:u w:val="single"/>
        </w:rPr>
        <w:t>:</w:t>
      </w:r>
    </w:p>
    <w:p w14:paraId="1AAA6CBF" w14:textId="77777777" w:rsidR="004B04DB" w:rsidRDefault="004B04DB" w:rsidP="004B04DB">
      <w:r w:rsidRPr="004B04DB">
        <w:t>Children from Mexico and</w:t>
      </w:r>
      <w:r>
        <w:t xml:space="preserve"> the Philippines generally acted more </w:t>
      </w:r>
      <w:proofErr w:type="spellStart"/>
      <w:r>
        <w:t>prosocially</w:t>
      </w:r>
      <w:proofErr w:type="spellEnd"/>
      <w:r>
        <w:t xml:space="preserve"> than those from Japan, India and USA. The most </w:t>
      </w:r>
      <w:proofErr w:type="spellStart"/>
      <w:r>
        <w:t>prosocial</w:t>
      </w:r>
      <w:proofErr w:type="spellEnd"/>
      <w:r>
        <w:t xml:space="preserve"> children were from Kenya (a traditional society). The most egoistic children came from the USA.</w:t>
      </w:r>
    </w:p>
    <w:p w14:paraId="171A9ED3" w14:textId="77777777" w:rsidR="004B04DB" w:rsidRDefault="004B04DB" w:rsidP="004B04DB"/>
    <w:p w14:paraId="734BCA68" w14:textId="77777777" w:rsidR="004B04DB" w:rsidRDefault="004B04DB" w:rsidP="004B04DB">
      <w:r>
        <w:t>An important factor was how much children helped with ho</w:t>
      </w:r>
      <w:r w:rsidR="00FB4D1B">
        <w:t xml:space="preserve">usehold chores and care of younger children. </w:t>
      </w:r>
      <w:proofErr w:type="spellStart"/>
      <w:r w:rsidR="00FB4D1B">
        <w:t>Prosocial</w:t>
      </w:r>
      <w:proofErr w:type="spellEnd"/>
      <w:r w:rsidR="00FB4D1B">
        <w:t xml:space="preserve"> children tended to live in extended families, the female role was important (economically). In the USA children were paid for chores.</w:t>
      </w:r>
    </w:p>
    <w:p w14:paraId="3DA0FC1B" w14:textId="77777777" w:rsidR="00FB4D1B" w:rsidRDefault="00FB4D1B" w:rsidP="004B04DB"/>
    <w:p w14:paraId="63F46941" w14:textId="77777777" w:rsidR="00FB4D1B" w:rsidRDefault="00FB4D1B" w:rsidP="004B04DB">
      <w:r>
        <w:t>Conclusion:</w:t>
      </w:r>
    </w:p>
    <w:p w14:paraId="3276CD76" w14:textId="77777777" w:rsidR="00FB4D1B" w:rsidRDefault="00FB4D1B" w:rsidP="004B04DB">
      <w:r>
        <w:t>Degree of modernization seem to influence behavior and</w:t>
      </w:r>
      <w:r w:rsidR="004B1109">
        <w:t xml:space="preserve"> also i</w:t>
      </w:r>
      <w:r>
        <w:t>ndiv</w:t>
      </w:r>
      <w:r w:rsidR="004B1109">
        <w:t>idualism and collectivism. Collectivist cultures value helping family members</w:t>
      </w:r>
      <w:r w:rsidR="009F6B71">
        <w:t xml:space="preserve"> (think about subsistence farmers). Individualistic cultures encourage competitiveness and personal achievement for future success. This does not seem to promote </w:t>
      </w:r>
      <w:proofErr w:type="spellStart"/>
      <w:r w:rsidR="009F6B71">
        <w:t>prosocial</w:t>
      </w:r>
      <w:proofErr w:type="spellEnd"/>
      <w:r w:rsidR="009F6B71">
        <w:t xml:space="preserve"> behavior.</w:t>
      </w:r>
    </w:p>
    <w:p w14:paraId="12B50275" w14:textId="77777777" w:rsidR="009F6B71" w:rsidRDefault="009F6B71" w:rsidP="004B04DB"/>
    <w:p w14:paraId="452C0D22" w14:textId="77777777" w:rsidR="009F6B71" w:rsidRPr="009F6B71" w:rsidRDefault="009F6B71" w:rsidP="009F6B71">
      <w:pPr>
        <w:rPr>
          <w:b/>
        </w:rPr>
      </w:pPr>
      <w:r w:rsidRPr="009F6B71">
        <w:t xml:space="preserve">Supported by </w:t>
      </w:r>
      <w:r w:rsidRPr="009F6B71">
        <w:rPr>
          <w:b/>
        </w:rPr>
        <w:t>Graves and Graves</w:t>
      </w:r>
    </w:p>
    <w:p w14:paraId="4600A7E5" w14:textId="77777777" w:rsidR="009F6B71" w:rsidRDefault="009F6B71" w:rsidP="009F6B71">
      <w:r w:rsidRPr="009F6B71">
        <w:t>Caring for younger children provides considerable opportunities to learn to behave in a social manner.</w:t>
      </w:r>
    </w:p>
    <w:p w14:paraId="2235CE2A" w14:textId="77777777" w:rsidR="005F5FB8" w:rsidRDefault="005F5FB8" w:rsidP="009F6B71"/>
    <w:p w14:paraId="0532F029" w14:textId="77777777" w:rsidR="00AF5B5B" w:rsidRDefault="00AF5B5B" w:rsidP="009F6B71">
      <w:pPr>
        <w:rPr>
          <w:u w:val="single"/>
        </w:rPr>
      </w:pPr>
      <w:r>
        <w:rPr>
          <w:u w:val="single"/>
        </w:rPr>
        <w:t>Cultura</w:t>
      </w:r>
      <w:r w:rsidRPr="00AF5B5B">
        <w:rPr>
          <w:u w:val="single"/>
        </w:rPr>
        <w:t>l Norms</w:t>
      </w:r>
    </w:p>
    <w:p w14:paraId="0E3412A4" w14:textId="77777777" w:rsidR="003D63ED" w:rsidRDefault="00AF5B5B" w:rsidP="00AF5B5B">
      <w:r w:rsidRPr="00AF5B5B">
        <w:rPr>
          <w:b/>
        </w:rPr>
        <w:t>Miller et al</w:t>
      </w:r>
      <w:r w:rsidRPr="00E86D66">
        <w:t xml:space="preserve"> – Interviewed 400</w:t>
      </w:r>
      <w:r w:rsidR="003D63ED">
        <w:t xml:space="preserve"> individuals on what to do in hypothetical situations where a person had failed to help someone in need. The situations involved parent’s obligation to help children, friend’s obligation to help a friend and people’s obligation to help a stranger. The situations also varied from life threatening to minor threat.</w:t>
      </w:r>
    </w:p>
    <w:p w14:paraId="7EBBC476" w14:textId="77777777" w:rsidR="003D63ED" w:rsidRDefault="003D63ED" w:rsidP="00AF5B5B"/>
    <w:p w14:paraId="046CED7D" w14:textId="77777777" w:rsidR="00AF5B5B" w:rsidRPr="00E86D66" w:rsidRDefault="003D63ED" w:rsidP="00AF5B5B">
      <w:r>
        <w:t>Hindu I</w:t>
      </w:r>
      <w:r w:rsidR="00AF5B5B" w:rsidRPr="00E86D66">
        <w:t>ndians tended t</w:t>
      </w:r>
      <w:r>
        <w:t>o see it as a moral duty to help in ALL situations. North A</w:t>
      </w:r>
      <w:r w:rsidR="00AF5B5B" w:rsidRPr="00E86D66">
        <w:t>mericans saw it as more personal choice</w:t>
      </w:r>
      <w:r>
        <w:t xml:space="preserve">. They were influenced by factors like if they knew the person, if they liked the person and how much danger they were in. </w:t>
      </w:r>
    </w:p>
    <w:p w14:paraId="61DF8962" w14:textId="77777777" w:rsidR="00AF5B5B" w:rsidRPr="00AF5B5B" w:rsidRDefault="00AF5B5B" w:rsidP="009F6B71">
      <w:pPr>
        <w:rPr>
          <w:b/>
        </w:rPr>
      </w:pPr>
    </w:p>
    <w:p w14:paraId="57A65E8D" w14:textId="77777777" w:rsidR="00AF5B5B" w:rsidRDefault="00AF5B5B" w:rsidP="009F6B71"/>
    <w:p w14:paraId="24861AEB" w14:textId="77777777" w:rsidR="005F5FB8" w:rsidRDefault="005F5FB8" w:rsidP="005F5FB8">
      <w:pPr>
        <w:rPr>
          <w:b/>
        </w:rPr>
      </w:pPr>
      <w:r w:rsidRPr="005F5FB8">
        <w:rPr>
          <w:u w:val="single"/>
        </w:rPr>
        <w:t>Social Identity Theory</w:t>
      </w:r>
      <w:r w:rsidRPr="005F5FB8">
        <w:rPr>
          <w:b/>
        </w:rPr>
        <w:t xml:space="preserve"> </w:t>
      </w:r>
      <w:r>
        <w:rPr>
          <w:b/>
        </w:rPr>
        <w:t xml:space="preserve">– </w:t>
      </w:r>
      <w:r w:rsidRPr="005F5FB8">
        <w:t xml:space="preserve">we </w:t>
      </w:r>
      <w:proofErr w:type="spellStart"/>
      <w:r w:rsidRPr="005F5FB8">
        <w:t>favour</w:t>
      </w:r>
      <w:proofErr w:type="spellEnd"/>
      <w:r w:rsidRPr="005F5FB8">
        <w:t xml:space="preserve"> our in-group</w:t>
      </w:r>
      <w:r>
        <w:t>.</w:t>
      </w:r>
    </w:p>
    <w:p w14:paraId="47C37F17" w14:textId="77777777" w:rsidR="005F5FB8" w:rsidRPr="005F5FB8" w:rsidRDefault="005F5FB8" w:rsidP="005F5FB8">
      <w:pPr>
        <w:rPr>
          <w:b/>
        </w:rPr>
      </w:pPr>
      <w:r w:rsidRPr="005F5FB8">
        <w:rPr>
          <w:b/>
        </w:rPr>
        <w:t xml:space="preserve">Katz </w:t>
      </w:r>
    </w:p>
    <w:p w14:paraId="31EF6767" w14:textId="77777777" w:rsidR="005F5FB8" w:rsidRDefault="005F5FB8" w:rsidP="005F5FB8">
      <w:pPr>
        <w:rPr>
          <w:b/>
        </w:rPr>
      </w:pPr>
      <w:r w:rsidRPr="005F5FB8">
        <w:t>Help members of own ethnic group (our in group) rather than another.</w:t>
      </w:r>
      <w:r w:rsidRPr="005F5FB8">
        <w:rPr>
          <w:b/>
        </w:rPr>
        <w:t xml:space="preserve"> </w:t>
      </w:r>
    </w:p>
    <w:p w14:paraId="485EB049" w14:textId="77777777" w:rsidR="005F5FB8" w:rsidRPr="005F5FB8" w:rsidRDefault="005F5FB8" w:rsidP="005F5FB8">
      <w:pPr>
        <w:rPr>
          <w:b/>
        </w:rPr>
      </w:pPr>
      <w:r w:rsidRPr="005F5FB8">
        <w:rPr>
          <w:b/>
        </w:rPr>
        <w:t>Bond and Leung</w:t>
      </w:r>
    </w:p>
    <w:p w14:paraId="739DC080" w14:textId="77777777" w:rsidR="005F5FB8" w:rsidRDefault="005F5FB8" w:rsidP="005F5FB8">
      <w:r w:rsidRPr="005F5FB8">
        <w:t>Chinese and Japanese had a strong in-group perception and offered more help than Americans.</w:t>
      </w:r>
      <w:r>
        <w:t xml:space="preserve"> However, they are l</w:t>
      </w:r>
      <w:r w:rsidRPr="005F5FB8">
        <w:t xml:space="preserve">ess likely than Americans to help </w:t>
      </w:r>
      <w:proofErr w:type="gramStart"/>
      <w:r w:rsidRPr="005F5FB8">
        <w:t>out group</w:t>
      </w:r>
      <w:proofErr w:type="gramEnd"/>
      <w:r w:rsidRPr="005F5FB8">
        <w:t xml:space="preserve">. </w:t>
      </w:r>
    </w:p>
    <w:p w14:paraId="05EEE27E" w14:textId="77777777" w:rsidR="005F5FB8" w:rsidRPr="005F5FB8" w:rsidRDefault="005F5FB8" w:rsidP="005F5FB8">
      <w:r>
        <w:t>Conclusion: We seem to h</w:t>
      </w:r>
      <w:r w:rsidRPr="005F5FB8">
        <w:t>elp those we perceive as similar</w:t>
      </w:r>
      <w:r>
        <w:t xml:space="preserve"> but more research is needed. It may be difficult to measure in some places that are very multi-cultural.</w:t>
      </w:r>
    </w:p>
    <w:p w14:paraId="3873B625" w14:textId="77777777" w:rsidR="005F5FB8" w:rsidRPr="005F5FB8" w:rsidRDefault="005F5FB8" w:rsidP="005F5FB8"/>
    <w:p w14:paraId="4A1F7006" w14:textId="77777777" w:rsidR="005F5FB8" w:rsidRPr="005F5FB8" w:rsidRDefault="005F5FB8" w:rsidP="005F5FB8">
      <w:pPr>
        <w:rPr>
          <w:u w:val="single"/>
        </w:rPr>
      </w:pPr>
      <w:r w:rsidRPr="005F5FB8">
        <w:rPr>
          <w:u w:val="single"/>
        </w:rPr>
        <w:t>Population density</w:t>
      </w:r>
    </w:p>
    <w:p w14:paraId="33197411" w14:textId="77777777" w:rsidR="005F5FB8" w:rsidRPr="005F5FB8" w:rsidRDefault="005F5FB8" w:rsidP="005F5FB8">
      <w:r w:rsidRPr="005F5FB8">
        <w:rPr>
          <w:b/>
        </w:rPr>
        <w:t>Levine et al</w:t>
      </w:r>
      <w:r w:rsidRPr="005F5FB8">
        <w:t xml:space="preserve"> throughout 1990’s</w:t>
      </w:r>
      <w:r>
        <w:t xml:space="preserve"> investigated helpfulness towards strangers.</w:t>
      </w:r>
    </w:p>
    <w:p w14:paraId="72867A80" w14:textId="77777777" w:rsidR="007858EB" w:rsidRDefault="007858EB" w:rsidP="005F5FB8"/>
    <w:p w14:paraId="2C1687E6" w14:textId="77777777" w:rsidR="005F5FB8" w:rsidRPr="005F5FB8" w:rsidRDefault="007858EB" w:rsidP="005F5FB8">
      <w:proofErr w:type="gramStart"/>
      <w:r>
        <w:t>Independent field experiments into simple helpful acts.</w:t>
      </w:r>
      <w:proofErr w:type="gramEnd"/>
      <w:r>
        <w:t xml:space="preserve"> For example, a pen dropping, l</w:t>
      </w:r>
      <w:r w:rsidR="005F5FB8" w:rsidRPr="005F5FB8">
        <w:t>etter dropping, exchange money, blind person</w:t>
      </w:r>
      <w:r>
        <w:t xml:space="preserve"> across the road.</w:t>
      </w:r>
    </w:p>
    <w:p w14:paraId="77683EB8" w14:textId="77777777" w:rsidR="005F5FB8" w:rsidRPr="005F5FB8" w:rsidRDefault="005F5FB8" w:rsidP="005F5FB8"/>
    <w:p w14:paraId="753B1393" w14:textId="77777777" w:rsidR="005F5FB8" w:rsidRPr="007858EB" w:rsidRDefault="007858EB" w:rsidP="005F5FB8">
      <w:pPr>
        <w:rPr>
          <w:u w:val="single"/>
        </w:rPr>
      </w:pPr>
      <w:proofErr w:type="gramStart"/>
      <w:r>
        <w:rPr>
          <w:u w:val="single"/>
        </w:rPr>
        <w:t xml:space="preserve">Results for </w:t>
      </w:r>
      <w:r w:rsidR="005F5FB8" w:rsidRPr="007858EB">
        <w:rPr>
          <w:u w:val="single"/>
        </w:rPr>
        <w:t>36 large cities around the US</w:t>
      </w:r>
      <w:r w:rsidRPr="007858EB">
        <w:rPr>
          <w:u w:val="single"/>
        </w:rPr>
        <w:t>A of all different sizes.</w:t>
      </w:r>
      <w:proofErr w:type="gramEnd"/>
    </w:p>
    <w:p w14:paraId="766ADC9E" w14:textId="77777777" w:rsidR="005F5FB8" w:rsidRPr="005F5FB8" w:rsidRDefault="005F5FB8" w:rsidP="005F5FB8">
      <w:r w:rsidRPr="005F5FB8">
        <w:t>Small</w:t>
      </w:r>
      <w:r w:rsidR="007858EB">
        <w:t>/</w:t>
      </w:r>
      <w:r w:rsidRPr="005F5FB8">
        <w:t>medium cities in SE most helpful</w:t>
      </w:r>
    </w:p>
    <w:p w14:paraId="7C9EA117" w14:textId="77777777" w:rsidR="005F5FB8" w:rsidRPr="005F5FB8" w:rsidRDefault="005F5FB8" w:rsidP="005F5FB8">
      <w:r w:rsidRPr="005F5FB8">
        <w:t>Large cites in NE least helpful</w:t>
      </w:r>
    </w:p>
    <w:p w14:paraId="6C96EDC2" w14:textId="77777777" w:rsidR="005F5FB8" w:rsidRPr="005F5FB8" w:rsidRDefault="007858EB" w:rsidP="005F5FB8">
      <w:r w:rsidRPr="007858EB">
        <w:rPr>
          <w:u w:val="single"/>
        </w:rPr>
        <w:t>Conclusion:</w:t>
      </w:r>
      <w:r>
        <w:t xml:space="preserve"> </w:t>
      </w:r>
      <w:r w:rsidR="005F5FB8" w:rsidRPr="005F5FB8">
        <w:t>The research indicated that the best predictor of helping behavior was population density</w:t>
      </w:r>
    </w:p>
    <w:p w14:paraId="752C15CC" w14:textId="77777777" w:rsidR="005F5FB8" w:rsidRPr="005F5FB8" w:rsidRDefault="005F5FB8" w:rsidP="005F5FB8"/>
    <w:p w14:paraId="374D29B9" w14:textId="77777777" w:rsidR="005F5FB8" w:rsidRPr="007858EB" w:rsidRDefault="007858EB" w:rsidP="005F5FB8">
      <w:pPr>
        <w:rPr>
          <w:u w:val="single"/>
        </w:rPr>
      </w:pPr>
      <w:r w:rsidRPr="007858EB">
        <w:rPr>
          <w:u w:val="single"/>
        </w:rPr>
        <w:t>Results for 23 large cities around the world</w:t>
      </w:r>
    </w:p>
    <w:p w14:paraId="2646665D" w14:textId="77777777" w:rsidR="005F5FB8" w:rsidRPr="005F5FB8" w:rsidRDefault="007858EB" w:rsidP="005F5FB8">
      <w:proofErr w:type="gramStart"/>
      <w:r>
        <w:t>In the blind person experiment.</w:t>
      </w:r>
      <w:proofErr w:type="gramEnd"/>
      <w:r>
        <w:t xml:space="preserve"> </w:t>
      </w:r>
      <w:r w:rsidR="005F5FB8" w:rsidRPr="005F5FB8">
        <w:t>Most helpful (on every occasion)</w:t>
      </w:r>
      <w:r>
        <w:t xml:space="preserve">: Rio de Janeiro, </w:t>
      </w:r>
      <w:r w:rsidR="005F5FB8" w:rsidRPr="005F5FB8">
        <w:t>San Jose</w:t>
      </w:r>
      <w:r>
        <w:t xml:space="preserve">, Lilongwe, </w:t>
      </w:r>
      <w:r w:rsidR="005F5FB8" w:rsidRPr="005F5FB8">
        <w:t>Madrid</w:t>
      </w:r>
      <w:r>
        <w:t xml:space="preserve">, </w:t>
      </w:r>
      <w:proofErr w:type="gramStart"/>
      <w:r w:rsidR="005F5FB8" w:rsidRPr="005F5FB8">
        <w:t>Prague</w:t>
      </w:r>
      <w:proofErr w:type="gramEnd"/>
    </w:p>
    <w:p w14:paraId="75D1D48D" w14:textId="77777777" w:rsidR="005F5FB8" w:rsidRPr="005F5FB8" w:rsidRDefault="007858EB" w:rsidP="005F5FB8">
      <w:r>
        <w:t>But in Kuala Lumpur and Bangkok help was offered less than half of the time.</w:t>
      </w:r>
    </w:p>
    <w:p w14:paraId="0DD40C1A" w14:textId="77777777" w:rsidR="005F5FB8" w:rsidRDefault="005F5FB8" w:rsidP="005F5FB8"/>
    <w:p w14:paraId="1AE1040F" w14:textId="77777777" w:rsidR="005F5FB8" w:rsidRDefault="007858EB" w:rsidP="005F5FB8">
      <w:r>
        <w:t xml:space="preserve">In pen dropping, the chance of being helped in one third in New </w:t>
      </w:r>
      <w:proofErr w:type="spellStart"/>
      <w:r>
        <w:t>Yourk</w:t>
      </w:r>
      <w:proofErr w:type="spellEnd"/>
      <w:r>
        <w:t xml:space="preserve"> compared to Rio.</w:t>
      </w:r>
    </w:p>
    <w:p w14:paraId="45657948" w14:textId="77777777" w:rsidR="007858EB" w:rsidRPr="005F5FB8" w:rsidRDefault="007858EB" w:rsidP="007858EB">
      <w:r w:rsidRPr="007858EB">
        <w:rPr>
          <w:u w:val="single"/>
        </w:rPr>
        <w:t>Conclusion</w:t>
      </w:r>
      <w:r>
        <w:t>:</w:t>
      </w:r>
      <w:r w:rsidRPr="007858EB">
        <w:t xml:space="preserve"> </w:t>
      </w:r>
      <w:r w:rsidRPr="005F5FB8">
        <w:t>Helping was high in countrie</w:t>
      </w:r>
      <w:r>
        <w:t>s with low economic productivity</w:t>
      </w:r>
    </w:p>
    <w:p w14:paraId="60EAA415" w14:textId="77777777" w:rsidR="005F5FB8" w:rsidRDefault="005F5FB8" w:rsidP="005F5FB8">
      <w:r w:rsidRPr="005F5FB8">
        <w:t xml:space="preserve">Helping was </w:t>
      </w:r>
      <w:r w:rsidR="007858EB">
        <w:t xml:space="preserve">also </w:t>
      </w:r>
      <w:r w:rsidRPr="005F5FB8">
        <w:t>higher in cities with a slow pace of life.</w:t>
      </w:r>
      <w:r w:rsidR="007858EB">
        <w:t xml:space="preserve"> </w:t>
      </w:r>
      <w:r w:rsidRPr="005F5FB8">
        <w:t>Walking speed measured to access pace of life</w:t>
      </w:r>
      <w:r w:rsidR="007858EB">
        <w:t xml:space="preserve">. However this trend was not found in all cases. </w:t>
      </w:r>
      <w:r w:rsidR="008760A5">
        <w:t xml:space="preserve">Fast paced pedestrians in Vienna were very helpful but slow paced Kuala </w:t>
      </w:r>
      <w:proofErr w:type="spellStart"/>
      <w:r w:rsidR="008760A5">
        <w:t>Lumpurians</w:t>
      </w:r>
      <w:proofErr w:type="spellEnd"/>
      <w:r w:rsidR="008760A5">
        <w:t xml:space="preserve"> were not. </w:t>
      </w:r>
    </w:p>
    <w:p w14:paraId="24A5AD2C" w14:textId="77777777" w:rsidR="008760A5" w:rsidRPr="005F5FB8" w:rsidRDefault="008760A5" w:rsidP="005F5FB8">
      <w:r>
        <w:t>Interestingly, where people were raised had LESS effect than where they lived. Therefore helping may be due to the ‘norms’ of a place.</w:t>
      </w:r>
    </w:p>
    <w:p w14:paraId="02F127E9" w14:textId="77777777" w:rsidR="005F5FB8" w:rsidRPr="005F5FB8" w:rsidRDefault="005F5FB8" w:rsidP="005F5FB8"/>
    <w:p w14:paraId="7894CE96" w14:textId="77777777" w:rsidR="005F5FB8" w:rsidRPr="005F5FB8" w:rsidRDefault="008760A5" w:rsidP="005F5FB8">
      <w:r>
        <w:t xml:space="preserve">Evaluation: </w:t>
      </w:r>
    </w:p>
    <w:p w14:paraId="7FC6527E" w14:textId="77777777" w:rsidR="005F5FB8" w:rsidRPr="008760A5" w:rsidRDefault="005F5FB8" w:rsidP="005F5FB8">
      <w:pPr>
        <w:rPr>
          <w:u w:val="single"/>
        </w:rPr>
      </w:pPr>
      <w:r w:rsidRPr="008760A5">
        <w:rPr>
          <w:u w:val="single"/>
        </w:rPr>
        <w:t>Methodological limitations:</w:t>
      </w:r>
    </w:p>
    <w:p w14:paraId="7657A23B" w14:textId="77777777" w:rsidR="005F5FB8" w:rsidRPr="005F5FB8" w:rsidRDefault="005F5FB8" w:rsidP="005F5FB8">
      <w:r w:rsidRPr="005F5FB8">
        <w:t>Levine’s tasks were different and cannot compare easily but are</w:t>
      </w:r>
      <w:r w:rsidR="008760A5">
        <w:t xml:space="preserve"> all helping but not demanding.</w:t>
      </w:r>
    </w:p>
    <w:p w14:paraId="1AF7B862" w14:textId="77777777" w:rsidR="005F5FB8" w:rsidRPr="005F5FB8" w:rsidRDefault="005F5FB8" w:rsidP="005F5FB8">
      <w:r w:rsidRPr="005F5FB8">
        <w:t>Do the tasks translate across cultures</w:t>
      </w:r>
      <w:r w:rsidR="008760A5">
        <w:t>?</w:t>
      </w:r>
    </w:p>
    <w:p w14:paraId="2C694053" w14:textId="77777777" w:rsidR="005F5FB8" w:rsidRPr="005F5FB8" w:rsidRDefault="005F5FB8" w:rsidP="005F5FB8">
      <w:r w:rsidRPr="005F5FB8">
        <w:t>Can we generalize ab</w:t>
      </w:r>
      <w:r w:rsidR="008760A5">
        <w:t>out an entire culture? Vienna does not follow the trend</w:t>
      </w:r>
    </w:p>
    <w:p w14:paraId="5CD576E2" w14:textId="77777777" w:rsidR="005F5FB8" w:rsidRPr="005F5FB8" w:rsidRDefault="005F5FB8" w:rsidP="005F5FB8">
      <w:r w:rsidRPr="005F5FB8">
        <w:t>Can we attribute meaning to a person’s re</w:t>
      </w:r>
      <w:r w:rsidR="008760A5">
        <w:t>fusal to help?</w:t>
      </w:r>
    </w:p>
    <w:p w14:paraId="043EA7ED" w14:textId="77777777" w:rsidR="005F5FB8" w:rsidRDefault="008760A5" w:rsidP="005F5FB8">
      <w:r>
        <w:t>Ecological validity. Yes but many confounding variables.</w:t>
      </w:r>
    </w:p>
    <w:p w14:paraId="72BCF12F" w14:textId="77777777" w:rsidR="008760A5" w:rsidRDefault="008760A5" w:rsidP="005F5FB8"/>
    <w:p w14:paraId="557D79DB" w14:textId="77777777" w:rsidR="008760A5" w:rsidRDefault="008760A5" w:rsidP="005F5FB8">
      <w:pPr>
        <w:rPr>
          <w:u w:val="single"/>
        </w:rPr>
      </w:pPr>
      <w:r w:rsidRPr="008760A5">
        <w:rPr>
          <w:u w:val="single"/>
        </w:rPr>
        <w:t>OVERALL CONCLUSION</w:t>
      </w:r>
    </w:p>
    <w:p w14:paraId="49B8A20C" w14:textId="77777777" w:rsidR="005F5FB8" w:rsidRPr="005F5FB8" w:rsidRDefault="008760A5" w:rsidP="005F5FB8">
      <w:proofErr w:type="spellStart"/>
      <w:r w:rsidRPr="008760A5">
        <w:t>Prosocial</w:t>
      </w:r>
      <w:proofErr w:type="spellEnd"/>
      <w:r w:rsidRPr="008760A5">
        <w:t xml:space="preserve"> behavior is the result of a complex interaction between</w:t>
      </w:r>
      <w:r>
        <w:t xml:space="preserve"> environmental and social factors. It is not possible to isolate individual variables (such as culture) to determine which play the most significant role in whether an individual helps or not. </w:t>
      </w:r>
      <w:proofErr w:type="gramStart"/>
      <w:r>
        <w:t>Cross cultural</w:t>
      </w:r>
      <w:proofErr w:type="gramEnd"/>
      <w:r>
        <w:t xml:space="preserve"> research is difficult due to the bias of researchers in defining, observing and interpreting helping behavior.</w:t>
      </w:r>
    </w:p>
    <w:p w14:paraId="4B2D77E2" w14:textId="77777777" w:rsidR="005F5FB8" w:rsidRPr="009F6B71" w:rsidRDefault="005F5FB8" w:rsidP="005F5FB8"/>
    <w:p w14:paraId="2A5CE48E" w14:textId="77777777" w:rsidR="00E86D66" w:rsidRPr="00E86D66" w:rsidRDefault="00E86D66" w:rsidP="00AF5B5B"/>
    <w:p w14:paraId="48B8F20E" w14:textId="77777777" w:rsidR="008016FF" w:rsidRDefault="008016FF"/>
    <w:sectPr w:rsidR="008016FF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B1C8C"/>
    <w:multiLevelType w:val="hybridMultilevel"/>
    <w:tmpl w:val="C72EB054"/>
    <w:lvl w:ilvl="0" w:tplc="020AA0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78269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AA40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5F4A4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158CD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1CC3C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C1EA6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73638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5EAF9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D66"/>
    <w:rsid w:val="00081FE1"/>
    <w:rsid w:val="003D63ED"/>
    <w:rsid w:val="004B04DB"/>
    <w:rsid w:val="004B1109"/>
    <w:rsid w:val="005F5FB8"/>
    <w:rsid w:val="007858EB"/>
    <w:rsid w:val="008016FF"/>
    <w:rsid w:val="008760A5"/>
    <w:rsid w:val="009F6B71"/>
    <w:rsid w:val="00AF5B5B"/>
    <w:rsid w:val="00E86D66"/>
    <w:rsid w:val="00FB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7311B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7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60567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00175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8928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719</Words>
  <Characters>4099</Characters>
  <Application>Microsoft Macintosh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</cp:revision>
  <dcterms:created xsi:type="dcterms:W3CDTF">2013-04-16T08:06:00Z</dcterms:created>
  <dcterms:modified xsi:type="dcterms:W3CDTF">2013-04-16T13:20:00Z</dcterms:modified>
</cp:coreProperties>
</file>